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F9" w:rsidRPr="008578F9" w:rsidRDefault="008578F9" w:rsidP="00087E41">
      <w:pPr>
        <w:spacing w:before="100" w:beforeAutospacing="1" w:after="100" w:afterAutospacing="1"/>
        <w:ind w:left="0" w:firstLine="0"/>
        <w:jc w:val="center"/>
        <w:outlineLvl w:val="0"/>
        <w:rPr>
          <w:rFonts w:eastAsia="Times New Roman"/>
          <w:szCs w:val="24"/>
        </w:rPr>
      </w:pPr>
      <w:r w:rsidRPr="008578F9">
        <w:rPr>
          <w:rFonts w:eastAsia="Times New Roman"/>
          <w:b/>
          <w:bCs/>
          <w:kern w:val="36"/>
          <w:sz w:val="28"/>
          <w:szCs w:val="28"/>
        </w:rPr>
        <w:t xml:space="preserve">MentorNet #78 </w:t>
      </w:r>
      <w:r w:rsidRPr="008578F9">
        <w:rPr>
          <w:rFonts w:eastAsia="Times New Roman"/>
          <w:b/>
          <w:bCs/>
          <w:kern w:val="36"/>
          <w:sz w:val="28"/>
          <w:szCs w:val="28"/>
        </w:rPr>
        <w:br/>
        <w:t xml:space="preserve">Can Church Multiplication Happen in the </w:t>
      </w:r>
      <w:proofErr w:type="gramStart"/>
      <w:r w:rsidRPr="008578F9">
        <w:rPr>
          <w:rFonts w:eastAsia="Times New Roman"/>
          <w:b/>
          <w:bCs/>
          <w:kern w:val="36"/>
          <w:sz w:val="28"/>
          <w:szCs w:val="28"/>
        </w:rPr>
        <w:t>West?</w:t>
      </w:r>
      <w:proofErr w:type="gramEnd"/>
      <w:r w:rsidR="00087E41">
        <w:rPr>
          <w:rFonts w:eastAsia="Times New Roman"/>
          <w:b/>
          <w:bCs/>
          <w:kern w:val="36"/>
          <w:sz w:val="28"/>
          <w:szCs w:val="28"/>
        </w:rPr>
        <w:br/>
      </w:r>
      <w:r w:rsidRPr="008578F9">
        <w:rPr>
          <w:rFonts w:eastAsia="Times New Roman"/>
          <w:szCs w:val="24"/>
        </w:rPr>
        <w:t>January 8, 2011</w:t>
      </w:r>
    </w:p>
    <w:p w:rsidR="008578F9" w:rsidRPr="008578F9" w:rsidRDefault="008578F9" w:rsidP="008578F9">
      <w:pPr>
        <w:spacing w:before="80"/>
        <w:ind w:left="0" w:firstLine="0"/>
        <w:rPr>
          <w:rFonts w:eastAsia="Times New Roman"/>
          <w:szCs w:val="24"/>
        </w:rPr>
      </w:pPr>
      <w:r w:rsidRPr="008578F9">
        <w:rPr>
          <w:rFonts w:eastAsia="Times New Roman"/>
          <w:szCs w:val="24"/>
        </w:rPr>
        <w:t xml:space="preserve">We in the West often ask ourselves this question, and we who write and teach about reproductive, group </w:t>
      </w:r>
      <w:proofErr w:type="gramStart"/>
      <w:r w:rsidRPr="008578F9">
        <w:rPr>
          <w:rFonts w:eastAsia="Times New Roman"/>
          <w:szCs w:val="24"/>
        </w:rPr>
        <w:t>disciple-making</w:t>
      </w:r>
      <w:proofErr w:type="gramEnd"/>
      <w:r w:rsidRPr="008578F9">
        <w:rPr>
          <w:rFonts w:eastAsia="Times New Roman"/>
          <w:szCs w:val="24"/>
        </w:rPr>
        <w:t xml:space="preserve"> hear this question everywhere we go. Given the invisibility of church multiplication within Western societies, we tend to answer the question in two ways, no and yes. </w:t>
      </w:r>
      <w:proofErr w:type="gramStart"/>
      <w:r w:rsidRPr="008578F9">
        <w:rPr>
          <w:rFonts w:eastAsia="Times New Roman"/>
          <w:szCs w:val="24"/>
        </w:rPr>
        <w:t>No, because of how things are, and yes, if we can agree to change a few things.</w:t>
      </w:r>
      <w:proofErr w:type="gramEnd"/>
      <w:r w:rsidRPr="008578F9">
        <w:rPr>
          <w:rFonts w:eastAsia="Times New Roman"/>
          <w:szCs w:val="24"/>
        </w:rPr>
        <w:t xml:space="preserve"> The phrases below are given “tongue-in-cheek”, so, please, </w:t>
      </w:r>
      <w:proofErr w:type="gramStart"/>
      <w:r w:rsidRPr="008578F9">
        <w:rPr>
          <w:rFonts w:eastAsia="Times New Roman"/>
          <w:szCs w:val="24"/>
        </w:rPr>
        <w:t>do</w:t>
      </w:r>
      <w:proofErr w:type="gramEnd"/>
      <w:r w:rsidRPr="008578F9">
        <w:rPr>
          <w:rFonts w:eastAsia="Times New Roman"/>
          <w:szCs w:val="24"/>
        </w:rPr>
        <w:t xml:space="preserve"> not cringe with pain.</w:t>
      </w:r>
    </w:p>
    <w:tbl>
      <w:tblPr>
        <w:tblW w:w="103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70"/>
        <w:gridCol w:w="3825"/>
        <w:gridCol w:w="4770"/>
      </w:tblGrid>
      <w:tr w:rsidR="008578F9" w:rsidRPr="008578F9" w:rsidTr="00087E41">
        <w:trPr>
          <w:tblCellSpacing w:w="0" w:type="dxa"/>
        </w:trPr>
        <w:tc>
          <w:tcPr>
            <w:tcW w:w="10365" w:type="dxa"/>
            <w:gridSpan w:val="3"/>
            <w:vAlign w:val="center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szCs w:val="24"/>
              </w:rPr>
            </w:pPr>
            <w:r w:rsidRPr="008578F9">
              <w:rPr>
                <w:rFonts w:eastAsia="Times New Roman"/>
                <w:b/>
                <w:szCs w:val="24"/>
              </w:rPr>
              <w:t>C</w:t>
            </w:r>
            <w:r>
              <w:rPr>
                <w:rFonts w:eastAsia="Times New Roman"/>
                <w:b/>
                <w:szCs w:val="24"/>
              </w:rPr>
              <w:t>an</w:t>
            </w:r>
            <w:r w:rsidRPr="008578F9">
              <w:rPr>
                <w:rFonts w:eastAsia="Times New Roman"/>
                <w:b/>
                <w:szCs w:val="24"/>
              </w:rPr>
              <w:t xml:space="preserve"> Church Multiplication Happen in the West?</w:t>
            </w:r>
            <w:r w:rsidRPr="008578F9"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5595" w:type="dxa"/>
            <w:gridSpan w:val="2"/>
            <w:vAlign w:val="center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Cs w:val="24"/>
              </w:rPr>
            </w:pPr>
            <w:r w:rsidRPr="008578F9">
              <w:rPr>
                <w:rFonts w:eastAsia="Times New Roman"/>
                <w:b/>
                <w:bCs/>
                <w:sz w:val="34"/>
                <w:szCs w:val="24"/>
              </w:rPr>
              <w:t>N</w:t>
            </w:r>
            <w:r w:rsidR="00087E41" w:rsidRPr="008578F9">
              <w:rPr>
                <w:rFonts w:eastAsia="Times New Roman"/>
                <w:b/>
                <w:bCs/>
                <w:sz w:val="34"/>
                <w:szCs w:val="24"/>
              </w:rPr>
              <w:t>O</w:t>
            </w:r>
            <w:r w:rsidRPr="008578F9">
              <w:rPr>
                <w:rFonts w:eastAsia="Times New Roman"/>
                <w:b/>
                <w:bCs/>
                <w:szCs w:val="24"/>
              </w:rPr>
              <w:t>, because…</w:t>
            </w:r>
          </w:p>
        </w:tc>
        <w:tc>
          <w:tcPr>
            <w:tcW w:w="4770" w:type="dxa"/>
            <w:vAlign w:val="center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Cs w:val="24"/>
              </w:rPr>
            </w:pPr>
            <w:r w:rsidRPr="008578F9">
              <w:rPr>
                <w:rFonts w:eastAsia="Times New Roman"/>
                <w:b/>
                <w:bCs/>
                <w:sz w:val="32"/>
                <w:szCs w:val="24"/>
              </w:rPr>
              <w:t>Y</w:t>
            </w:r>
            <w:r w:rsidR="00087E41" w:rsidRPr="008578F9">
              <w:rPr>
                <w:rFonts w:eastAsia="Times New Roman"/>
                <w:b/>
                <w:bCs/>
                <w:sz w:val="32"/>
                <w:szCs w:val="24"/>
              </w:rPr>
              <w:t>ES</w:t>
            </w:r>
            <w:r w:rsidRPr="008578F9">
              <w:rPr>
                <w:rFonts w:eastAsia="Times New Roman"/>
                <w:b/>
                <w:bCs/>
                <w:szCs w:val="24"/>
              </w:rPr>
              <w:t>, if…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Audience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Families have disintegrated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Church happens within existing networks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Authority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Questioned and resisted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Visionary, passionate and complied with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Baptism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Public profession of faith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Induction into the Body of Christ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Bible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Fodder for sermons &amp; lessons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Handbook for group action in the world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Christ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Far away in heaven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Active in our midst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Church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Bodies, building &amp; budget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Experiencing together the Presence of Christ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Church planting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Start a congregation some day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Multiply gatherings continually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Clergy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Rule over churches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Leaders empower their equals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Discipleship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Learning right doctrine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Learning how to obey Christ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Eucharist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Administered by the ordained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Breaking bread together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Evangelism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Occasional, ineffective effort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Normal conversation with willing hearers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Expansion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Violation of others’ choices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Reclaiming Satan’s captives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Faith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Historical doctrine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Obedience to Christ’s commandments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Gifts of the Spirit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Platform talent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Everyone ministering with God’s help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God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Basis of a theistic worldview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The King who is conquering his enemies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Healing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Medical assurance policy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Praying the mercy of God into others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Holy Spirit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My engagement ring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GOD working powerfully in his disciples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Hope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Material comfort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Eternal reward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Jesus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He loves me and hates legalism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I love him and obey his commandments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Love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Carnal knowledge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Seeking others’ eternal benefit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Mentoring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Advice and counseling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Making disciples of leaders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Miracles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Happened a long time ago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Normal outcomes of Christian spirituality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Mission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Salaried theologians go overseas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TAKING Christ into households and markets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Prayer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Wishing for more ease &amp; comfort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Pleading with God for souls and churches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Religion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Private, individual preferences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Public identity and convictions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Spirituality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self-gratification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Power to bless others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Stewardship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Others supporting my budget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Sharing with those in need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Theology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Abstract ideas about God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Explaining how to experience God’s power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Training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Educating scholars in classrooms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Passing on everything to the faithful anywhere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Warfare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Political lobbying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Despoiling demons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Wealth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Personal possessions &amp; prestige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Meeting needs and financing mission</w:t>
            </w:r>
          </w:p>
        </w:tc>
      </w:tr>
      <w:tr w:rsidR="008578F9" w:rsidRPr="008578F9" w:rsidTr="00087E41">
        <w:trPr>
          <w:tblCellSpacing w:w="0" w:type="dxa"/>
        </w:trPr>
        <w:tc>
          <w:tcPr>
            <w:tcW w:w="1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b/>
                <w:i/>
                <w:sz w:val="23"/>
                <w:szCs w:val="23"/>
              </w:rPr>
            </w:pPr>
            <w:r w:rsidRPr="008578F9">
              <w:rPr>
                <w:rFonts w:eastAsia="Times New Roman"/>
                <w:b/>
                <w:i/>
                <w:sz w:val="23"/>
                <w:szCs w:val="23"/>
              </w:rPr>
              <w:t>Word of God</w:t>
            </w:r>
          </w:p>
        </w:tc>
        <w:tc>
          <w:tcPr>
            <w:tcW w:w="3825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Biblical exegesis</w:t>
            </w:r>
          </w:p>
        </w:tc>
        <w:tc>
          <w:tcPr>
            <w:tcW w:w="4770" w:type="dxa"/>
            <w:hideMark/>
          </w:tcPr>
          <w:p w:rsidR="008578F9" w:rsidRPr="008578F9" w:rsidRDefault="008578F9" w:rsidP="008578F9">
            <w:pPr>
              <w:spacing w:before="0" w:after="0"/>
              <w:ind w:left="0" w:firstLine="0"/>
              <w:rPr>
                <w:rFonts w:eastAsia="Times New Roman"/>
                <w:sz w:val="23"/>
                <w:szCs w:val="23"/>
              </w:rPr>
            </w:pPr>
            <w:r w:rsidRPr="008578F9">
              <w:rPr>
                <w:rFonts w:eastAsia="Times New Roman"/>
                <w:sz w:val="23"/>
                <w:szCs w:val="23"/>
              </w:rPr>
              <w:t>Hearing from God via the Bible &amp; prophecy</w:t>
            </w:r>
          </w:p>
        </w:tc>
      </w:tr>
    </w:tbl>
    <w:p w:rsidR="00BE6BC8" w:rsidRPr="008578F9" w:rsidRDefault="008578F9" w:rsidP="008578F9">
      <w:pPr>
        <w:spacing w:before="100" w:beforeAutospacing="1" w:after="100" w:afterAutospacing="1"/>
        <w:ind w:left="0" w:firstLine="0"/>
        <w:rPr>
          <w:rFonts w:eastAsia="Times New Roman"/>
          <w:szCs w:val="24"/>
        </w:rPr>
      </w:pPr>
      <w:proofErr w:type="gramStart"/>
      <w:r w:rsidRPr="008578F9">
        <w:rPr>
          <w:rFonts w:eastAsia="Times New Roman"/>
          <w:sz w:val="15"/>
          <w:szCs w:val="15"/>
        </w:rPr>
        <w:t>Copyright © 2010 by Galen Currah, George Patterson, and Edward Aw.</w:t>
      </w:r>
      <w:proofErr w:type="gramEnd"/>
      <w:r w:rsidRPr="008578F9">
        <w:rPr>
          <w:rFonts w:eastAsia="Times New Roman"/>
          <w:sz w:val="15"/>
          <w:szCs w:val="15"/>
        </w:rPr>
        <w:br/>
        <w:t xml:space="preserve">Permission </w:t>
      </w:r>
      <w:proofErr w:type="gramStart"/>
      <w:r w:rsidRPr="008578F9">
        <w:rPr>
          <w:rFonts w:eastAsia="Times New Roman"/>
          <w:sz w:val="15"/>
          <w:szCs w:val="15"/>
        </w:rPr>
        <w:t>is granted</w:t>
      </w:r>
      <w:proofErr w:type="gramEnd"/>
      <w:r w:rsidRPr="008578F9">
        <w:rPr>
          <w:rFonts w:eastAsia="Times New Roman"/>
          <w:sz w:val="15"/>
          <w:szCs w:val="15"/>
        </w:rPr>
        <w:t xml:space="preserve"> to copy, translate, post and distribute freely.</w:t>
      </w:r>
    </w:p>
    <w:sectPr w:rsidR="00BE6BC8" w:rsidRPr="008578F9" w:rsidSect="008578F9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B721"/>
  <w:stylePaneSortMethod w:val="0000"/>
  <w:defaultTabStop w:val="720"/>
  <w:characterSpacingControl w:val="doNotCompress"/>
  <w:compat/>
  <w:rsids>
    <w:rsidRoot w:val="008578F9"/>
    <w:rsid w:val="00005E74"/>
    <w:rsid w:val="00017E0B"/>
    <w:rsid w:val="00043981"/>
    <w:rsid w:val="00075926"/>
    <w:rsid w:val="000804D4"/>
    <w:rsid w:val="00087E41"/>
    <w:rsid w:val="00090CAE"/>
    <w:rsid w:val="000A12FC"/>
    <w:rsid w:val="000B12AE"/>
    <w:rsid w:val="000D0647"/>
    <w:rsid w:val="000E5221"/>
    <w:rsid w:val="000F0C26"/>
    <w:rsid w:val="000F4036"/>
    <w:rsid w:val="00144B3D"/>
    <w:rsid w:val="001A5F5D"/>
    <w:rsid w:val="001A635E"/>
    <w:rsid w:val="001D70B5"/>
    <w:rsid w:val="001E3399"/>
    <w:rsid w:val="001F2424"/>
    <w:rsid w:val="001F70FB"/>
    <w:rsid w:val="00207F21"/>
    <w:rsid w:val="00247568"/>
    <w:rsid w:val="0025063E"/>
    <w:rsid w:val="00267EBE"/>
    <w:rsid w:val="002768DE"/>
    <w:rsid w:val="0028197B"/>
    <w:rsid w:val="00284C2C"/>
    <w:rsid w:val="002E2A73"/>
    <w:rsid w:val="002E6FBB"/>
    <w:rsid w:val="0032200E"/>
    <w:rsid w:val="00326B26"/>
    <w:rsid w:val="0033699A"/>
    <w:rsid w:val="00341259"/>
    <w:rsid w:val="003556E6"/>
    <w:rsid w:val="00375CF1"/>
    <w:rsid w:val="003D0FA3"/>
    <w:rsid w:val="003D47CA"/>
    <w:rsid w:val="003E5B54"/>
    <w:rsid w:val="003F5CD1"/>
    <w:rsid w:val="00482265"/>
    <w:rsid w:val="0048439E"/>
    <w:rsid w:val="00484466"/>
    <w:rsid w:val="00494B55"/>
    <w:rsid w:val="004A30A6"/>
    <w:rsid w:val="004B55B7"/>
    <w:rsid w:val="004C1A9A"/>
    <w:rsid w:val="004E2A41"/>
    <w:rsid w:val="004E5450"/>
    <w:rsid w:val="0051053B"/>
    <w:rsid w:val="00550341"/>
    <w:rsid w:val="00554772"/>
    <w:rsid w:val="00570ECF"/>
    <w:rsid w:val="0057238D"/>
    <w:rsid w:val="00587CD2"/>
    <w:rsid w:val="00591763"/>
    <w:rsid w:val="005A687F"/>
    <w:rsid w:val="005F4D9D"/>
    <w:rsid w:val="006155A1"/>
    <w:rsid w:val="0062056E"/>
    <w:rsid w:val="00632E73"/>
    <w:rsid w:val="00647EA5"/>
    <w:rsid w:val="00665ED0"/>
    <w:rsid w:val="006C367C"/>
    <w:rsid w:val="00705555"/>
    <w:rsid w:val="00707071"/>
    <w:rsid w:val="00720857"/>
    <w:rsid w:val="00731C6E"/>
    <w:rsid w:val="00743459"/>
    <w:rsid w:val="00777D0E"/>
    <w:rsid w:val="00781F1E"/>
    <w:rsid w:val="0078539F"/>
    <w:rsid w:val="00790DC6"/>
    <w:rsid w:val="007C30FD"/>
    <w:rsid w:val="007E1AFD"/>
    <w:rsid w:val="007E3D08"/>
    <w:rsid w:val="008131B6"/>
    <w:rsid w:val="00825B3F"/>
    <w:rsid w:val="008578F9"/>
    <w:rsid w:val="00861E12"/>
    <w:rsid w:val="008674E7"/>
    <w:rsid w:val="008B6906"/>
    <w:rsid w:val="0090041B"/>
    <w:rsid w:val="0093081E"/>
    <w:rsid w:val="00937B58"/>
    <w:rsid w:val="00956F94"/>
    <w:rsid w:val="00972875"/>
    <w:rsid w:val="009956A8"/>
    <w:rsid w:val="009A4854"/>
    <w:rsid w:val="009B4A87"/>
    <w:rsid w:val="00A01862"/>
    <w:rsid w:val="00A3721C"/>
    <w:rsid w:val="00A450C7"/>
    <w:rsid w:val="00A553FF"/>
    <w:rsid w:val="00A65884"/>
    <w:rsid w:val="00A713FF"/>
    <w:rsid w:val="00A85250"/>
    <w:rsid w:val="00AA0C8A"/>
    <w:rsid w:val="00AA12A0"/>
    <w:rsid w:val="00AE13C0"/>
    <w:rsid w:val="00B16573"/>
    <w:rsid w:val="00B26237"/>
    <w:rsid w:val="00BA0D75"/>
    <w:rsid w:val="00BC23DE"/>
    <w:rsid w:val="00BE6BC8"/>
    <w:rsid w:val="00C14DB5"/>
    <w:rsid w:val="00C2769C"/>
    <w:rsid w:val="00C34F02"/>
    <w:rsid w:val="00C42512"/>
    <w:rsid w:val="00C83B84"/>
    <w:rsid w:val="00C9769E"/>
    <w:rsid w:val="00CA5ECC"/>
    <w:rsid w:val="00CB2CF2"/>
    <w:rsid w:val="00CB3B07"/>
    <w:rsid w:val="00CB3CD6"/>
    <w:rsid w:val="00CC0A65"/>
    <w:rsid w:val="00CE65B3"/>
    <w:rsid w:val="00D33177"/>
    <w:rsid w:val="00D56234"/>
    <w:rsid w:val="00DC59B0"/>
    <w:rsid w:val="00DE23D4"/>
    <w:rsid w:val="00DE33E1"/>
    <w:rsid w:val="00DF13AF"/>
    <w:rsid w:val="00DF1E9D"/>
    <w:rsid w:val="00E1619F"/>
    <w:rsid w:val="00E165C8"/>
    <w:rsid w:val="00E6039A"/>
    <w:rsid w:val="00E76E77"/>
    <w:rsid w:val="00EA7285"/>
    <w:rsid w:val="00EF1C75"/>
    <w:rsid w:val="00F30C7E"/>
    <w:rsid w:val="00F325F8"/>
    <w:rsid w:val="00FA2419"/>
    <w:rsid w:val="00FB32A6"/>
    <w:rsid w:val="00FB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240"/>
        <w:ind w:left="907" w:hanging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B5"/>
    <w:pPr>
      <w:spacing w:after="12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578F9"/>
    <w:pPr>
      <w:spacing w:before="100" w:beforeAutospacing="1" w:after="100" w:afterAutospacing="1"/>
      <w:ind w:left="0" w:firstLine="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E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8F9"/>
    <w:rPr>
      <w:rFonts w:eastAsia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8578F9"/>
  </w:style>
  <w:style w:type="character" w:customStyle="1" w:styleId="fn">
    <w:name w:val="fn"/>
    <w:basedOn w:val="DefaultParagraphFont"/>
    <w:rsid w:val="008578F9"/>
  </w:style>
  <w:style w:type="character" w:styleId="Hyperlink">
    <w:name w:val="Hyperlink"/>
    <w:basedOn w:val="DefaultParagraphFont"/>
    <w:uiPriority w:val="99"/>
    <w:semiHidden/>
    <w:unhideWhenUsed/>
    <w:rsid w:val="008578F9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8578F9"/>
  </w:style>
  <w:style w:type="paragraph" w:styleId="NormalWeb">
    <w:name w:val="Normal (Web)"/>
    <w:basedOn w:val="Normal"/>
    <w:uiPriority w:val="99"/>
    <w:semiHidden/>
    <w:unhideWhenUsed/>
    <w:rsid w:val="008578F9"/>
    <w:pPr>
      <w:spacing w:before="100" w:beforeAutospacing="1" w:after="100" w:afterAutospacing="1"/>
      <w:ind w:left="0" w:firstLine="0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8578F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87E41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2011-05-03T16:01:00Z</dcterms:created>
  <dcterms:modified xsi:type="dcterms:W3CDTF">2011-05-03T16:14:00Z</dcterms:modified>
</cp:coreProperties>
</file>